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sz w:val="36"/>
        </w:rPr>
        <w:t>数字化资产 ONEOS 运管平台</w:t>
        <w:br/>
        <w:t>还车应结款 · 用户操作说明（培训版）</w:t>
      </w:r>
    </w:p>
    <w:p>
      <w:r>
        <w:rPr>
          <w:rFonts w:ascii="PingFang SC" w:hAnsi="PingFang SC" w:eastAsia="PingFang SC"/>
          <w:b w:val="0"/>
          <w:sz w:val="22"/>
        </w:rPr>
        <w:t>适用范围：财务管理模块下的「还车应结款」列表、只读查看页、费用明细协作页。配图说明：图1 为同类财务列表界面实拍（布局与还车应结款列表一致）；图 2、图 3 为依据原型 JSX 页面结构整理的示意配图，可在定稿前替换为系统截图。</w:t>
      </w:r>
    </w:p>
    <w:p>
      <w:pPr>
        <w:pStyle w:val="Heading1"/>
      </w:pPr>
      <w:r>
        <w:rPr>
          <w:rFonts w:ascii="PingFang SC" w:hAnsi="PingFang SC" w:eastAsia="PingFang SC"/>
        </w:rPr>
        <w:t>一、模块作用与入口</w:t>
      </w:r>
    </w:p>
    <w:p>
      <w:r>
        <w:rPr>
          <w:rFonts w:ascii="PingFang SC" w:hAnsi="PingFang SC" w:eastAsia="PingFang SC"/>
          <w:b w:val="0"/>
          <w:sz w:val="22"/>
        </w:rPr>
        <w:t>用于车辆还车后汇总安全、业务服务、运维、能源等数据，形成待结算金额并进入审批/账单流程。入口：左侧菜单 财务管理 → 还车应结款。</w:t>
      </w:r>
    </w:p>
    <w:p>
      <w:pPr>
        <w:pStyle w:val="Heading1"/>
      </w:pPr>
      <w:r>
        <w:rPr>
          <w:rFonts w:ascii="PingFang SC" w:hAnsi="PingFang SC" w:eastAsia="PingFang SC"/>
        </w:rPr>
        <w:t>二、列表页：筛选与查询</w:t>
      </w:r>
    </w:p>
    <w:p>
      <w:r>
        <w:rPr>
          <w:rFonts w:ascii="PingFang SC" w:hAnsi="PingFang SC" w:eastAsia="PingFang SC"/>
          <w:b w:val="0"/>
          <w:sz w:val="22"/>
        </w:rPr>
        <w:t>筛选区支持：合同编号、客户名称、项目名称（可展开后：车牌号、还车时间范围、审批状态）。按钮：重置、查询。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  <w:shd w:fill="E6F4EA"/>
          </w:tcPr>
          <w:p>
            <w:r>
              <w:t>条件</w:t>
            </w:r>
          </w:p>
        </w:tc>
        <w:tc>
          <w:tcPr>
            <w:tcW w:type="dxa" w:w="4706"/>
            <w:shd w:fill="E6F4EA"/>
          </w:tcPr>
          <w:p>
            <w:r>
              <w:t>说明</w:t>
            </w:r>
          </w:p>
        </w:tc>
      </w:tr>
      <w:tr>
        <w:tc>
          <w:tcPr>
            <w:tcW w:type="dxa" w:w="4706"/>
          </w:tcPr>
          <w:p>
            <w:r>
              <w:t>合同编号</w:t>
            </w:r>
          </w:p>
        </w:tc>
        <w:tc>
          <w:tcPr>
            <w:tcW w:type="dxa" w:w="4706"/>
          </w:tcPr>
          <w:p>
            <w:r>
              <w:t>下拉 + 输入模糊匹配</w:t>
            </w:r>
          </w:p>
        </w:tc>
      </w:tr>
      <w:tr>
        <w:tc>
          <w:tcPr>
            <w:tcW w:type="dxa" w:w="4706"/>
          </w:tcPr>
          <w:p>
            <w:r>
              <w:t>客户名称</w:t>
            </w:r>
          </w:p>
        </w:tc>
        <w:tc>
          <w:tcPr>
            <w:tcW w:type="dxa" w:w="4706"/>
          </w:tcPr>
          <w:p>
            <w:r>
              <w:t>同上</w:t>
            </w:r>
          </w:p>
        </w:tc>
      </w:tr>
      <w:tr>
        <w:tc>
          <w:tcPr>
            <w:tcW w:type="dxa" w:w="4706"/>
          </w:tcPr>
          <w:p>
            <w:r>
              <w:t>项目名称</w:t>
            </w:r>
          </w:p>
        </w:tc>
        <w:tc>
          <w:tcPr>
            <w:tcW w:type="dxa" w:w="4706"/>
          </w:tcPr>
          <w:p>
            <w:r>
              <w:t>同上</w:t>
            </w:r>
          </w:p>
        </w:tc>
      </w:tr>
      <w:tr>
        <w:tc>
          <w:tcPr>
            <w:tcW w:type="dxa" w:w="4706"/>
          </w:tcPr>
          <w:p>
            <w:r>
              <w:t>车牌号</w:t>
            </w:r>
          </w:p>
        </w:tc>
        <w:tc>
          <w:tcPr>
            <w:tcW w:type="dxa" w:w="4706"/>
          </w:tcPr>
          <w:p>
            <w:r>
              <w:t>展开后，同上</w:t>
            </w:r>
          </w:p>
        </w:tc>
      </w:tr>
      <w:tr>
        <w:tc>
          <w:tcPr>
            <w:tcW w:type="dxa" w:w="4706"/>
          </w:tcPr>
          <w:p>
            <w:r>
              <w:t>还车时间</w:t>
            </w:r>
          </w:p>
        </w:tc>
        <w:tc>
          <w:tcPr>
            <w:tcW w:type="dxa" w:w="4706"/>
          </w:tcPr>
          <w:p>
            <w:r>
              <w:t>起止日期，精确到日</w:t>
            </w:r>
          </w:p>
        </w:tc>
      </w:tr>
      <w:tr>
        <w:tc>
          <w:tcPr>
            <w:tcW w:type="dxa" w:w="4706"/>
          </w:tcPr>
          <w:p>
            <w:r>
              <w:t>审批状态</w:t>
            </w:r>
          </w:p>
        </w:tc>
        <w:tc>
          <w:tcPr>
            <w:tcW w:type="dxa" w:w="4706"/>
          </w:tcPr>
          <w:p>
            <w:r>
              <w:t>待提交/待审批/审批中/审批完成/审批驳回/撤回</w:t>
            </w:r>
          </w:p>
        </w:tc>
      </w:tr>
      <w:tr>
        <w:tc>
          <w:tcPr>
            <w:tcW w:type="dxa" w:w="4706"/>
          </w:tcPr>
          <w:p>
            <w:r>
              <w:t>导出</w:t>
            </w:r>
          </w:p>
        </w:tc>
        <w:tc>
          <w:tcPr>
            <w:tcW w:type="dxa" w:w="4706"/>
          </w:tcPr>
          <w:p>
            <w:r>
              <w:t>列表卡片右上角导出当前结果</w:t>
            </w:r>
          </w:p>
        </w:tc>
      </w:tr>
    </w:tbl>
    <w:p>
      <w:pPr>
        <w:pStyle w:val="Heading1"/>
      </w:pPr>
      <w:r>
        <w:rPr>
          <w:rFonts w:ascii="PingFang SC" w:hAnsi="PingFang SC" w:eastAsia="PingFang SC"/>
        </w:rPr>
        <w:t>三、列表页：表格字段与审批状态</w:t>
      </w:r>
    </w:p>
    <w:p>
      <w:r>
        <w:rPr>
          <w:rFonts w:ascii="PingFang SC" w:hAnsi="PingFang SC" w:eastAsia="PingFang SC"/>
          <w:b w:val="0"/>
          <w:sz w:val="22"/>
        </w:rPr>
        <w:t>提交情况四列：安全组、业务服务组、运维组、能源组。绿点=已提交，灰点=未提交，后接提交人姓名。</w:t>
      </w:r>
    </w:p>
    <w:p>
      <w:r>
        <w:rPr>
          <w:rFonts w:ascii="PingFang SC" w:hAnsi="PingFang SC" w:eastAsia="PingFang SC"/>
          <w:b w:val="0"/>
          <w:sz w:val="22"/>
        </w:rPr>
        <w:t>审批状态含义：待提交=四组未齐且未提审批；待审批=已提审无人处理；审批中=有节点已通过未完；审批完成=流程结束；审批驳回=任一节点的驳回；撤回=终审前主动撤回。</w:t>
      </w:r>
    </w:p>
    <w:p>
      <w:pPr>
        <w:pStyle w:val="Heading1"/>
      </w:pPr>
      <w:r>
        <w:rPr>
          <w:rFonts w:ascii="PingFang SC" w:hAnsi="PingFang SC" w:eastAsia="PingFang SC"/>
        </w:rPr>
        <w:t>四、列表页：操作按钮</w:t>
      </w:r>
    </w:p>
    <w:p>
      <w:pPr>
        <w:pStyle w:val="ListBullet"/>
      </w:pPr>
      <w:r>
        <w:rPr>
          <w:rFonts w:ascii="PingFang SC" w:hAnsi="PingFang SC" w:eastAsia="PingFang SC"/>
          <w:sz w:val="22"/>
        </w:rPr>
        <w:t>查看：进入只读「查看」页。</w:t>
      </w:r>
    </w:p>
    <w:p>
      <w:pPr>
        <w:pStyle w:val="ListBullet"/>
      </w:pPr>
      <w:r>
        <w:rPr>
          <w:rFonts w:ascii="PingFang SC" w:hAnsi="PingFang SC" w:eastAsia="PingFang SC"/>
          <w:sz w:val="22"/>
        </w:rPr>
        <w:t>生成账单：仅「待审批」显示；弹窗账单并可打印（需允许浏览器弹窗）。</w:t>
      </w:r>
    </w:p>
    <w:p>
      <w:pPr>
        <w:pStyle w:val="ListBullet"/>
      </w:pPr>
      <w:r>
        <w:rPr>
          <w:rFonts w:ascii="PingFang SC" w:hAnsi="PingFang SC" w:eastAsia="PingFang SC"/>
          <w:sz w:val="22"/>
        </w:rPr>
        <w:t>费用明细：待审批/审批中/审批完成 时隐藏；其余可编辑阶段进入费用明细。</w:t>
      </w:r>
    </w:p>
    <w:p>
      <w:pPr>
        <w:pStyle w:val="ListBullet"/>
      </w:pPr>
      <w:r>
        <w:rPr>
          <w:rFonts w:ascii="PingFang SC" w:hAnsi="PingFang SC" w:eastAsia="PingFang SC"/>
          <w:sz w:val="22"/>
        </w:rPr>
        <w:t>撤回：仅待审批、审批中显示；确认后状态改为撤回。</w:t>
      </w:r>
    </w:p>
    <w:p>
      <w:pPr>
        <w:pStyle w:val="Heading1"/>
      </w:pPr>
      <w:r>
        <w:rPr>
          <w:rFonts w:ascii="PingFang SC" w:hAnsi="PingFang SC" w:eastAsia="PingFang SC"/>
        </w:rPr>
        <w:t>五、配图</w:t>
      </w:r>
    </w:p>
    <w:p>
      <w:pPr>
        <w:jc w:val="center"/>
      </w:pPr>
      <w:r>
        <w:rPr>
          <w:rFonts w:ascii="PingFang SC" w:hAnsi="PingFang SC" w:eastAsia="PingFang SC"/>
          <w:i/>
          <w:sz w:val="20"/>
        </w:rPr>
        <w:t>图 1  财务管理 · 列表页布局参考（实拍；与「还车应结款」列表同一套：侧栏、筛选、表格、分页）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69280" cy="3543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230B49A-9740-471C-ADE4-FC7723DC4CA9_4_5005_c-70f13b01-98b2-42e3-a4f5-6824f02f183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543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PingFang SC" w:hAnsi="PingFang SC" w:eastAsia="PingFang SC"/>
          <w:i/>
          <w:sz w:val="20"/>
        </w:rPr>
        <w:t>图 2  还车应结款 · 查看页（原型结构示意）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69280" cy="327558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配图-还车应结款-查看页-原型结构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2755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PingFang SC" w:hAnsi="PingFang SC" w:eastAsia="PingFang SC"/>
          <w:i/>
          <w:sz w:val="20"/>
        </w:rPr>
        <w:t>图 3  还车应结款 · 费用明细页（原型结构示意）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69280" cy="3275584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配图-还车应结款-费用明细-原型结构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2755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rPr>
          <w:rFonts w:ascii="PingFang SC" w:hAnsi="PingFang SC" w:eastAsia="PingFang SC"/>
        </w:rPr>
        <w:t>六、查看页（只读）要点</w:t>
      </w:r>
    </w:p>
    <w:p>
      <w:r>
        <w:rPr>
          <w:rFonts w:ascii="PingFang SC" w:hAnsi="PingFang SC" w:eastAsia="PingFang SC"/>
          <w:b w:val="0"/>
          <w:sz w:val="22"/>
        </w:rPr>
        <w:t>车辆明细含三项保险及提示文案。费用区四张统计卡可点击展开分项。业务服务组、能源组、运维部、安全组为只读表格；轮胎磨损可悬停查看逐胎明细。底部返回列表。</w:t>
      </w:r>
    </w:p>
    <w:p>
      <w:pPr>
        <w:pStyle w:val="Heading1"/>
      </w:pPr>
      <w:r>
        <w:rPr>
          <w:rFonts w:ascii="PingFang SC" w:hAnsi="PingFang SC" w:eastAsia="PingFang SC"/>
        </w:rPr>
        <w:t>七、费用明细页：各组分工</w:t>
      </w:r>
    </w:p>
    <w:p>
      <w:r>
        <w:rPr>
          <w:rFonts w:ascii="PingFang SC" w:hAnsi="PingFang SC" w:eastAsia="PingFang SC"/>
          <w:b w:val="0"/>
          <w:sz w:val="22"/>
        </w:rPr>
        <w:t>业务服务组：5 项固定费用 + 可新增行；车辆租金（已收/实际/应退，实际租金默认按日折算可手改）。保存/提交/撤回；已提交后锁定至撤回。</w:t>
      </w:r>
    </w:p>
    <w:p>
      <w:r>
        <w:rPr>
          <w:rFonts w:ascii="PingFang SC" w:hAnsi="PingFang SC" w:eastAsia="PingFang SC"/>
          <w:b w:val="0"/>
          <w:sz w:val="22"/>
        </w:rPr>
        <w:t>能源采购组：交还车氢量、单价只读；交车氢量大于还车时氢量差补缴自动算；氢费/电费/预付款退费可填；最后一辆车红色提示。</w:t>
      </w:r>
    </w:p>
    <w:p>
      <w:r>
        <w:rPr>
          <w:rFonts w:ascii="PingFang SC" w:hAnsi="PingFang SC" w:eastAsia="PingFang SC"/>
          <w:b w:val="0"/>
          <w:sz w:val="22"/>
        </w:rPr>
        <w:t>运维部：清洗、保养、维修、车损等；证件丢失按规则自动计价；送/接车服务费禁用反写；轮胎磨损与胎纹合计规则见需求说明；无忧包减免与三项保险挂钩。</w:t>
      </w:r>
    </w:p>
    <w:p>
      <w:r>
        <w:rPr>
          <w:rFonts w:ascii="PingFang SC" w:hAnsi="PingFang SC" w:eastAsia="PingFang SC"/>
          <w:b w:val="0"/>
          <w:sz w:val="22"/>
        </w:rPr>
        <w:t>安全组：违章清单、事故清单；确认后提交。</w:t>
      </w:r>
    </w:p>
    <w:p>
      <w:pPr>
        <w:pStyle w:val="Heading1"/>
      </w:pPr>
      <w:r>
        <w:rPr>
          <w:rFonts w:ascii="PingFang SC" w:hAnsi="PingFang SC" w:eastAsia="PingFang SC"/>
        </w:rPr>
        <w:t>八、金额计算（口径）</w:t>
      </w:r>
    </w:p>
    <w:p>
      <w:r>
        <w:rPr>
          <w:rFonts w:ascii="PingFang SC" w:hAnsi="PingFang SC" w:eastAsia="PingFang SC"/>
          <w:b w:val="0"/>
          <w:sz w:val="22"/>
        </w:rPr>
        <w:t>待结算总额 = 业务服务组费用合计 + 车辆应退租金 + 氢量差补缴 + 氢费补缴 + 电费补缴 − 预付款退费 + 运维部费用合计。</w:t>
      </w:r>
    </w:p>
    <w:p>
      <w:r>
        <w:rPr>
          <w:rFonts w:ascii="PingFang SC" w:hAnsi="PingFang SC" w:eastAsia="PingFang SC"/>
          <w:b w:val="0"/>
          <w:sz w:val="22"/>
        </w:rPr>
        <w:t>应退还总额：保证金 − 待结算 为正时取该值。应补缴总额：保证金 − 待结算 为负时取绝对值。</w:t>
      </w:r>
    </w:p>
    <w:p>
      <w:pPr>
        <w:pStyle w:val="Heading1"/>
      </w:pPr>
      <w:r>
        <w:rPr>
          <w:rFonts w:ascii="PingFang SC" w:hAnsi="PingFang SC" w:eastAsia="PingFang SC"/>
        </w:rPr>
        <w:t>九、提交审核条件</w:t>
      </w:r>
    </w:p>
    <w:p>
      <w:r>
        <w:rPr>
          <w:rFonts w:ascii="PingFang SC" w:hAnsi="PingFang SC" w:eastAsia="PingFang SC"/>
          <w:b w:val="0"/>
          <w:sz w:val="22"/>
        </w:rPr>
        <w:t>原型规则：单据生成后满 15 天倒计时结束，且业务服务组、能源采购组、运维部、安全组均为「已提交」，底部「提交审核」才可点；否则按钮禁用并显示剩余天/小时。提交前系统校验各必填金额与无忧包减免等。</w:t>
      </w:r>
    </w:p>
    <w:p>
      <w:pPr>
        <w:pStyle w:val="Heading1"/>
      </w:pPr>
      <w:r>
        <w:rPr>
          <w:rFonts w:ascii="PingFang SC" w:hAnsi="PingFang SC" w:eastAsia="PingFang SC"/>
        </w:rPr>
        <w:t>十、修订记录</w:t>
      </w:r>
    </w:p>
    <w:p>
      <w:r>
        <w:rPr>
          <w:rFonts w:ascii="PingFang SC" w:hAnsi="PingFang SC" w:eastAsia="PingFang SC"/>
          <w:b w:val="0"/>
          <w:sz w:val="22"/>
        </w:rPr>
        <w:t>文档版本：V1.0 生成依据：web端/财务管理/还车应结款.jsx、还车应结款-查看.jsx、还车应结款-费用明细.jsx 内嵌需求说明。</w:t>
      </w:r>
    </w:p>
    <w:sectPr w:rsidR="00FC693F" w:rsidRPr="0006063C" w:rsidSect="00034616">
      <w:pgSz w:w="11906" w:h="16838"/>
      <w:pgMar w:top="1440" w:right="1247" w:bottom="144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