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80" w:line="324" w:lineRule="auto"/>
      </w:pPr>
      <w:r>
        <w:rPr>
          <w:rFonts w:ascii="微软雅黑" w:hAnsi="微软雅黑" w:eastAsia="微软雅黑"/>
          <w:b w:val="0"/>
          <w:sz w:val="22"/>
        </w:rPr>
      </w:r>
    </w:p>
    <w:p>
      <w:pPr>
        <w:spacing w:after="240" w:line="324" w:lineRule="auto"/>
        <w:jc w:val="center"/>
      </w:pPr>
      <w:r>
        <w:rPr>
          <w:rFonts w:ascii="微软雅黑" w:hAnsi="微软雅黑" w:eastAsia="微软雅黑"/>
          <w:b w:val="0"/>
          <w:color w:val="5C6578"/>
          <w:sz w:val="24"/>
        </w:rPr>
        <w:t>羚牛氢能 · OneOS 生态</w:t>
      </w:r>
    </w:p>
    <w:p>
      <w:pPr>
        <w:spacing w:after="320" w:line="324" w:lineRule="auto"/>
        <w:jc w:val="center"/>
      </w:pPr>
      <w:r>
        <w:rPr>
          <w:rFonts w:ascii="微软雅黑" w:hAnsi="微软雅黑" w:eastAsia="微软雅黑"/>
          <w:b/>
          <w:color w:val="00BFA5"/>
          <w:sz w:val="52"/>
        </w:rPr>
        <w:t>小羚羚氢能产业数字化平台方案书</w:t>
      </w:r>
    </w:p>
    <w:p>
      <w:pPr>
        <w:spacing w:after="640" w:line="324" w:lineRule="auto"/>
        <w:jc w:val="center"/>
      </w:pPr>
      <w:r>
        <w:rPr>
          <w:rFonts w:ascii="微软雅黑" w:hAnsi="微软雅黑" w:eastAsia="微软雅黑"/>
          <w:b w:val="0"/>
          <w:color w:val="5C6578"/>
          <w:sz w:val="26"/>
        </w:rPr>
        <w:t>手机端「小羚羚」多端协同 · 氢能产业链数字化规划</w:t>
      </w:r>
    </w:p>
    <w:p>
      <w:pPr>
        <w:jc w:val="center"/>
      </w:pPr>
      <w:r>
        <w:rPr>
          <w:rFonts w:ascii="微软雅黑" w:hAnsi="微软雅黑" w:eastAsia="微软雅黑"/>
          <w:b w:val="0"/>
          <w:color w:val="5C6578"/>
          <w:sz w:val="22"/>
        </w:rPr>
        <w:t>文档版本：v1.0</w:t>
        <w:br/>
      </w:r>
      <w:r>
        <w:rPr>
          <w:rFonts w:ascii="微软雅黑" w:hAnsi="微软雅黑" w:eastAsia="微软雅黑"/>
          <w:b w:val="0"/>
          <w:color w:val="5C6578"/>
          <w:sz w:val="22"/>
        </w:rPr>
        <w:t>文档类型：平台建设规划 / 商业计划</w:t>
        <w:br/>
      </w:r>
      <w:r>
        <w:rPr>
          <w:rFonts w:ascii="微软雅黑" w:hAnsi="微软雅黑" w:eastAsia="微软雅黑"/>
          <w:b w:val="0"/>
          <w:color w:val="5C6578"/>
          <w:sz w:val="22"/>
        </w:rPr>
        <w:t>适用读者：管理层、产品、业务、项目团队</w:t>
        <w:br/>
      </w:r>
    </w:p>
    <w:p>
      <w:r>
        <w:br w:type="page"/>
      </w:r>
    </w:p>
    <w:p>
      <w:pPr>
        <w:pStyle w:val="Heading1"/>
        <w:spacing w:before="0" w:after="160"/>
      </w:pPr>
      <w:r>
        <w:rPr>
          <w:rFonts w:ascii="微软雅黑" w:hAnsi="微软雅黑" w:eastAsia="微软雅黑"/>
          <w:b/>
          <w:color w:val="1A1F2E"/>
          <w:sz w:val="44"/>
        </w:rPr>
        <w:t>一、项目概述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以手机端「小羚羚」为统一入口，连接内部运营、车队客户、司机、加氢站、维修站、制氢企业与集团客户，实现氢气采购—加氢站—氢能车运营全链路数字化闭环。</w:t>
      </w:r>
    </w:p>
    <w:p>
      <w:pPr>
        <w:spacing w:after="80" w:line="324" w:lineRule="auto"/>
      </w:pPr>
      <w:r>
        <w:rPr>
          <w:rFonts w:ascii="微软雅黑" w:hAnsi="微软雅黑" w:eastAsia="微软雅黑"/>
          <w:b/>
          <w:color w:val="00BFA5"/>
          <w:sz w:val="24"/>
        </w:rPr>
        <w:t>一句话定位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小羚羚 = 氢能产业的「业务操作系统」：一端登录、多角色协同，把合同、车辆、能源、维保、氢气贸易串成可落地、可风控、可结算的完整商业链条。</w:t>
      </w:r>
    </w:p>
    <w:p>
      <w:pPr>
        <w:pStyle w:val="Heading2"/>
        <w:spacing w:before="280" w:after="160"/>
      </w:pPr>
      <w:r>
        <w:rPr>
          <w:rFonts w:ascii="微软雅黑" w:hAnsi="微软雅黑" w:eastAsia="微软雅黑"/>
          <w:b/>
          <w:color w:val="00BFA5"/>
          <w:sz w:val="32"/>
        </w:rPr>
        <w:t>核心指标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3"/>
        <w:gridCol w:w="4533"/>
      </w:tblGrid>
      <w:tr>
        <w:tc>
          <w:tcPr>
            <w:tcW w:type="dxa" w:w="2835"/>
            <w:shd w:fill="D4F5EC" w:val="clear"/>
          </w:tcPr>
          <w:p>
            <w:r/>
            <w:r>
              <w:rPr>
                <w:rFonts w:ascii="微软雅黑" w:hAnsi="微软雅黑" w:eastAsia="微软雅黑"/>
                <w:b/>
                <w:color w:val="1A1F2E"/>
                <w:sz w:val="20"/>
              </w:rPr>
              <w:t>指标项</w:t>
            </w:r>
          </w:p>
        </w:tc>
        <w:tc>
          <w:tcPr>
            <w:tcW w:type="dxa" w:w="6236"/>
            <w:shd w:fill="D4F5EC" w:val="clear"/>
          </w:tcPr>
          <w:p>
            <w:r/>
            <w:r>
              <w:rPr>
                <w:rFonts w:ascii="微软雅黑" w:hAnsi="微软雅黑" w:eastAsia="微软雅黑"/>
                <w:b/>
                <w:color w:val="1A1F2E"/>
                <w:sz w:val="20"/>
              </w:rPr>
              <w:t>目标值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目标用户角色</w:t>
            </w:r>
          </w:p>
        </w:tc>
        <w:tc>
          <w:tcPr>
            <w:tcW w:type="dxa" w:w="6236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7 类</w:t>
            </w:r>
          </w:p>
        </w:tc>
      </w:tr>
      <w:tr>
        <w:tc>
          <w:tcPr>
            <w:tcW w:type="dxa" w:w="2835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业务闭环条数</w:t>
            </w:r>
          </w:p>
        </w:tc>
        <w:tc>
          <w:tcPr>
            <w:tcW w:type="dxa" w:w="6236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3 条</w:t>
            </w:r>
          </w:p>
        </w:tc>
      </w:tr>
      <w:tr>
        <w:tc>
          <w:tcPr>
            <w:tcW w:type="dxa" w:w="2835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产业链覆盖</w:t>
            </w:r>
          </w:p>
        </w:tc>
        <w:tc>
          <w:tcPr>
            <w:tcW w:type="dxa" w:w="6236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上中下游（制氢采购 → 加氢站 → 氢能车运营）</w:t>
            </w:r>
          </w:p>
        </w:tc>
      </w:tr>
      <w:tr>
        <w:tc>
          <w:tcPr>
            <w:tcW w:type="dxa" w:w="2835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首期上线周期</w:t>
            </w:r>
          </w:p>
        </w:tc>
        <w:tc>
          <w:tcPr>
            <w:tcW w:type="dxa" w:w="6236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6 个月</w:t>
            </w:r>
          </w:p>
        </w:tc>
      </w:tr>
    </w:tbl>
    <w:p/>
    <w:p>
      <w:pPr>
        <w:pStyle w:val="Heading1"/>
        <w:spacing w:before="0" w:after="160"/>
      </w:pPr>
      <w:r>
        <w:rPr>
          <w:rFonts w:ascii="微软雅黑" w:hAnsi="微软雅黑" w:eastAsia="微软雅黑"/>
          <w:b/>
          <w:color w:val="1A1F2E"/>
          <w:sz w:val="44"/>
        </w:rPr>
        <w:t>二、氢能产业链商业计划（上游 → 下游）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覆盖氢气采购、加氢站运营、氢能车租赁/自营三大环节，形成「制氢—储运—加注—运营—结算」一体化商业模式。</w:t>
      </w:r>
    </w:p>
    <w:p>
      <w:pPr>
        <w:pStyle w:val="Heading2"/>
        <w:spacing w:before="280" w:after="160"/>
      </w:pPr>
      <w:r>
        <w:rPr>
          <w:rFonts w:ascii="微软雅黑" w:hAnsi="微软雅黑" w:eastAsia="微软雅黑"/>
          <w:b/>
          <w:color w:val="00BFA5"/>
          <w:sz w:val="32"/>
        </w:rPr>
        <w:t>2.1 产业链三段式布局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2"/>
        <w:gridCol w:w="3022"/>
        <w:gridCol w:w="3022"/>
      </w:tblGrid>
      <w:tr>
        <w:tc>
          <w:tcPr>
            <w:tcW w:type="dxa" w:w="1984"/>
            <w:shd w:fill="D4F5EC" w:val="clear"/>
          </w:tcPr>
          <w:p>
            <w:r/>
            <w:r>
              <w:rPr>
                <w:rFonts w:ascii="微软雅黑" w:hAnsi="微软雅黑" w:eastAsia="微软雅黑"/>
                <w:b/>
                <w:color w:val="1A1F2E"/>
                <w:sz w:val="20"/>
              </w:rPr>
              <w:t>环节</w:t>
            </w:r>
          </w:p>
        </w:tc>
        <w:tc>
          <w:tcPr>
            <w:tcW w:type="dxa" w:w="3969"/>
            <w:shd w:fill="D4F5EC" w:val="clear"/>
          </w:tcPr>
          <w:p>
            <w:r/>
            <w:r>
              <w:rPr>
                <w:rFonts w:ascii="微软雅黑" w:hAnsi="微软雅黑" w:eastAsia="微软雅黑"/>
                <w:b/>
                <w:color w:val="1A1F2E"/>
                <w:sz w:val="20"/>
              </w:rPr>
              <w:t>业务内容</w:t>
            </w:r>
          </w:p>
        </w:tc>
        <w:tc>
          <w:tcPr>
            <w:tcW w:type="dxa" w:w="3118"/>
            <w:shd w:fill="D4F5EC" w:val="clear"/>
          </w:tcPr>
          <w:p>
            <w:r/>
            <w:r>
              <w:rPr>
                <w:rFonts w:ascii="微软雅黑" w:hAnsi="微软雅黑" w:eastAsia="微软雅黑"/>
                <w:b/>
                <w:color w:val="1A1F2E"/>
                <w:sz w:val="20"/>
              </w:rPr>
              <w:t>平台价值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上游 · 制氢采购</w:t>
            </w:r>
          </w:p>
        </w:tc>
        <w:tc>
          <w:tcPr>
            <w:tcW w:type="dxa" w:w="3969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制氢企业挂牌售氢、管束车调度、到站交付</w:t>
            </w:r>
          </w:p>
        </w:tc>
        <w:tc>
          <w:tcPr>
            <w:tcW w:type="dxa" w:w="3118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氢气贸易与物流协同</w:t>
            </w:r>
          </w:p>
        </w:tc>
      </w:tr>
      <w:tr>
        <w:tc>
          <w:tcPr>
            <w:tcW w:type="dxa" w:w="1984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中游 · 加氢站</w:t>
            </w:r>
          </w:p>
        </w:tc>
        <w:tc>
          <w:tcPr>
            <w:tcW w:type="dxa" w:w="3969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预约接单、电子加氢卡结算、巡检与对账</w:t>
            </w:r>
          </w:p>
        </w:tc>
        <w:tc>
          <w:tcPr>
            <w:tcW w:type="dxa" w:w="3118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加注服务数字化与氢费结算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下游 · 氢能车运营</w:t>
            </w:r>
          </w:p>
        </w:tc>
        <w:tc>
          <w:tcPr>
            <w:tcW w:type="dxa" w:w="3969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租赁/自营、交还车、能源与 ETC 账单闭环</w:t>
            </w:r>
          </w:p>
        </w:tc>
        <w:tc>
          <w:tcPr>
            <w:tcW w:type="dxa" w:w="3118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车辆运营与资产管理</w:t>
            </w:r>
          </w:p>
        </w:tc>
      </w:tr>
    </w:tbl>
    <w:p/>
    <w:p>
      <w:pPr>
        <w:pStyle w:val="Heading2"/>
        <w:spacing w:before="280" w:after="160"/>
      </w:pPr>
      <w:r>
        <w:rPr>
          <w:rFonts w:ascii="微软雅黑" w:hAnsi="微软雅黑" w:eastAsia="微软雅黑"/>
          <w:b/>
          <w:color w:val="00BFA5"/>
          <w:sz w:val="32"/>
        </w:rPr>
        <w:t>2.2 商业模式与收入结构</w:t>
      </w:r>
    </w:p>
    <w:p>
      <w:pPr>
        <w:pStyle w:val="Heading3"/>
        <w:spacing w:before="280" w:after="160"/>
      </w:pPr>
      <w:r>
        <w:rPr>
          <w:rFonts w:ascii="微软雅黑" w:hAnsi="微软雅黑" w:eastAsia="微软雅黑"/>
          <w:b/>
          <w:color w:val="00BFA5"/>
          <w:sz w:val="26"/>
        </w:rPr>
        <w:t>上游 · 氢气贸易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制氢企业在线挂牌售氢；加氢站/运营方发起采购询价；成交后管束车配送到站。平台收取交易撮合费、物流调度服务费、数据监测服务费。</w:t>
      </w:r>
    </w:p>
    <w:p>
      <w:pPr>
        <w:pStyle w:val="Heading3"/>
        <w:spacing w:before="280" w:after="160"/>
      </w:pPr>
      <w:r>
        <w:rPr>
          <w:rFonts w:ascii="微软雅黑" w:hAnsi="微软雅黑" w:eastAsia="微软雅黑"/>
          <w:b/>
          <w:color w:val="00BFA5"/>
          <w:sz w:val="26"/>
        </w:rPr>
        <w:t>中游 · 加氢服务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司机预约加氢、电子加氢卡预充值结算；站点 OCR 识别加氢量自动入账；氢费对账线上化。平台收取 SaaS 服务费、支付通道费、对账增值服务费。</w:t>
      </w:r>
    </w:p>
    <w:p>
      <w:pPr>
        <w:pStyle w:val="Heading3"/>
        <w:spacing w:before="280" w:after="160"/>
      </w:pPr>
      <w:r>
        <w:rPr>
          <w:rFonts w:ascii="微软雅黑" w:hAnsi="微软雅黑" w:eastAsia="微软雅黑"/>
          <w:b/>
          <w:color w:val="00BFA5"/>
          <w:sz w:val="26"/>
        </w:rPr>
        <w:t>下游 · 车辆运营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租赁/自营合同在线签约；交还车+替换车闭环；能源/ETC/维保账单聚合；客户评级与敏感客户风控。平台核心收入为租赁服务费、资产管理费、金融结算服务。</w:t>
      </w:r>
    </w:p>
    <w:p>
      <w:pPr>
        <w:pStyle w:val="Heading1"/>
        <w:spacing w:before="0" w:after="160"/>
      </w:pPr>
      <w:r>
        <w:rPr>
          <w:rFonts w:ascii="微软雅黑" w:hAnsi="微软雅黑" w:eastAsia="微软雅黑"/>
          <w:b/>
          <w:color w:val="1A1F2E"/>
          <w:sz w:val="44"/>
        </w:rPr>
        <w:t>三、平台架构：七类用户 · 一套数据底座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6"/>
        <w:gridCol w:w="2266"/>
        <w:gridCol w:w="2266"/>
        <w:gridCol w:w="2266"/>
      </w:tblGrid>
      <w:tr>
        <w:tc>
          <w:tcPr>
            <w:tcW w:type="dxa" w:w="1247"/>
            <w:shd w:fill="D4F5EC" w:val="clear"/>
          </w:tcPr>
          <w:p>
            <w:r/>
            <w:r>
              <w:rPr>
                <w:rFonts w:ascii="微软雅黑" w:hAnsi="微软雅黑" w:eastAsia="微软雅黑"/>
                <w:b/>
                <w:color w:val="1A1F2E"/>
                <w:sz w:val="20"/>
              </w:rPr>
              <w:t>用户端</w:t>
            </w:r>
          </w:p>
        </w:tc>
        <w:tc>
          <w:tcPr>
            <w:tcW w:type="dxa" w:w="1417"/>
            <w:shd w:fill="D4F5EC" w:val="clear"/>
          </w:tcPr>
          <w:p>
            <w:r/>
            <w:r>
              <w:rPr>
                <w:rFonts w:ascii="微软雅黑" w:hAnsi="微软雅黑" w:eastAsia="微软雅黑"/>
                <w:b/>
                <w:color w:val="1A1F2E"/>
                <w:sz w:val="20"/>
              </w:rPr>
              <w:t>主体</w:t>
            </w:r>
          </w:p>
        </w:tc>
        <w:tc>
          <w:tcPr>
            <w:tcW w:type="dxa" w:w="3572"/>
            <w:shd w:fill="D4F5EC" w:val="clear"/>
          </w:tcPr>
          <w:p>
            <w:r/>
            <w:r>
              <w:rPr>
                <w:rFonts w:ascii="微软雅黑" w:hAnsi="微软雅黑" w:eastAsia="微软雅黑"/>
                <w:b/>
                <w:color w:val="1A1F2E"/>
                <w:sz w:val="20"/>
              </w:rPr>
              <w:t>核心能力</w:t>
            </w:r>
          </w:p>
        </w:tc>
        <w:tc>
          <w:tcPr>
            <w:tcW w:type="dxa" w:w="2835"/>
            <w:shd w:fill="D4F5EC" w:val="clear"/>
          </w:tcPr>
          <w:p>
            <w:r/>
            <w:r>
              <w:rPr>
                <w:rFonts w:ascii="微软雅黑" w:hAnsi="微软雅黑" w:eastAsia="微软雅黑"/>
                <w:b/>
                <w:color w:val="1A1F2E"/>
                <w:sz w:val="20"/>
              </w:rPr>
              <w:t>关键场景</w:t>
            </w:r>
          </w:p>
        </w:tc>
      </w:tr>
      <w:tr>
        <w:tc>
          <w:tcPr>
            <w:tcW w:type="dxa" w:w="1247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内部用户</w:t>
            </w:r>
          </w:p>
        </w:tc>
        <w:tc>
          <w:tcPr>
            <w:tcW w:type="dxa" w:w="1417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羚牛氢能员工</w:t>
            </w:r>
          </w:p>
        </w:tc>
        <w:tc>
          <w:tcPr>
            <w:tcW w:type="dxa" w:w="3572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合同-收款-交还车-结算全链路；车辆全生命周期；风控审批</w:t>
            </w:r>
          </w:p>
        </w:tc>
        <w:tc>
          <w:tcPr>
            <w:tcW w:type="dxa" w:w="2835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业务员/运维/能源/财务/法务/CEO 等</w:t>
            </w:r>
          </w:p>
        </w:tc>
      </w:tr>
      <w:tr>
        <w:tc>
          <w:tcPr>
            <w:tcW w:type="dxa" w:w="1247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车队长</w:t>
            </w:r>
          </w:p>
        </w:tc>
        <w:tc>
          <w:tcPr>
            <w:tcW w:type="dxa" w:w="1417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车队管理者</w:t>
            </w:r>
          </w:p>
        </w:tc>
        <w:tc>
          <w:tcPr>
            <w:tcW w:type="dxa" w:w="3572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一键租车报价签约；车辆运行/账单/开票/对讲</w:t>
            </w:r>
          </w:p>
        </w:tc>
        <w:tc>
          <w:tcPr>
            <w:tcW w:type="dxa" w:w="2835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注册验证、在线合同、实时定位</w:t>
            </w:r>
          </w:p>
        </w:tc>
      </w:tr>
      <w:tr>
        <w:tc>
          <w:tcPr>
            <w:tcW w:type="dxa" w:w="1247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氢能车司机</w:t>
            </w:r>
          </w:p>
        </w:tc>
        <w:tc>
          <w:tcPr>
            <w:tcW w:type="dxa" w:w="1417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自营+外部租赁</w:t>
            </w:r>
          </w:p>
        </w:tc>
        <w:tc>
          <w:tcPr>
            <w:tcW w:type="dxa" w:w="3572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路线导航、能源账单、安全培训考试、预约加氢、故障救援</w:t>
            </w:r>
          </w:p>
        </w:tc>
        <w:tc>
          <w:tcPr>
            <w:tcW w:type="dxa" w:w="2835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内外部司机差异化权限</w:t>
            </w:r>
          </w:p>
        </w:tc>
      </w:tr>
      <w:tr>
        <w:tc>
          <w:tcPr>
            <w:tcW w:type="dxa" w:w="1247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加氢站用户</w:t>
            </w:r>
          </w:p>
        </w:tc>
        <w:tc>
          <w:tcPr>
            <w:tcW w:type="dxa" w:w="1417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站点运营</w:t>
            </w:r>
          </w:p>
        </w:tc>
        <w:tc>
          <w:tcPr>
            <w:tcW w:type="dxa" w:w="3572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预约接单、电子加氢卡结算、OCR 识别加氢量、氢费对账</w:t>
            </w:r>
          </w:p>
        </w:tc>
        <w:tc>
          <w:tcPr>
            <w:tcW w:type="dxa" w:w="2835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特种设备/行驶证校验</w:t>
            </w:r>
          </w:p>
        </w:tc>
      </w:tr>
      <w:tr>
        <w:tc>
          <w:tcPr>
            <w:tcW w:type="dxa" w:w="1247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维修站用户</w:t>
            </w:r>
          </w:p>
        </w:tc>
        <w:tc>
          <w:tcPr>
            <w:tcW w:type="dxa" w:w="1417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维保服务</w:t>
            </w:r>
          </w:p>
        </w:tc>
        <w:tc>
          <w:tcPr>
            <w:tcW w:type="dxa" w:w="3572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维修/保养派单接单、费用记录、运维核实对账</w:t>
            </w:r>
          </w:p>
        </w:tc>
        <w:tc>
          <w:tcPr>
            <w:tcW w:type="dxa" w:w="2835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配件人工自动入账</w:t>
            </w:r>
          </w:p>
        </w:tc>
      </w:tr>
      <w:tr>
        <w:tc>
          <w:tcPr>
            <w:tcW w:type="dxa" w:w="1247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制氢企业</w:t>
            </w:r>
          </w:p>
        </w:tc>
        <w:tc>
          <w:tcPr>
            <w:tcW w:type="dxa" w:w="1417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氢气供应</w:t>
            </w:r>
          </w:p>
        </w:tc>
        <w:tc>
          <w:tcPr>
            <w:tcW w:type="dxa" w:w="3572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在线挂牌售氢、管束车监测、询价成交与运费结算</w:t>
            </w:r>
          </w:p>
        </w:tc>
        <w:tc>
          <w:tcPr>
            <w:tcW w:type="dxa" w:w="2835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对接加氢站采购</w:t>
            </w:r>
          </w:p>
        </w:tc>
      </w:tr>
      <w:tr>
        <w:tc>
          <w:tcPr>
            <w:tcW w:type="dxa" w:w="1247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集团客户</w:t>
            </w:r>
          </w:p>
        </w:tc>
        <w:tc>
          <w:tcPr>
            <w:tcW w:type="dxa" w:w="1417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企业级客户</w:t>
            </w:r>
          </w:p>
        </w:tc>
        <w:tc>
          <w:tcPr>
            <w:tcW w:type="dxa" w:w="3572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多项目车辆/账单/能源/ETC 总览；在线租车签约</w:t>
            </w:r>
          </w:p>
        </w:tc>
        <w:tc>
          <w:tcPr>
            <w:tcW w:type="dxa" w:w="2835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类车队长但主体为企业</w:t>
            </w:r>
          </w:p>
        </w:tc>
      </w:tr>
    </w:tbl>
    <w:p/>
    <w:p>
      <w:pPr>
        <w:pStyle w:val="Heading1"/>
        <w:spacing w:before="0" w:after="160"/>
      </w:pPr>
      <w:r>
        <w:rPr>
          <w:rFonts w:ascii="微软雅黑" w:hAnsi="微软雅黑" w:eastAsia="微软雅黑"/>
          <w:b/>
          <w:color w:val="1A1F2E"/>
          <w:sz w:val="44"/>
        </w:rPr>
        <w:t>四、分角色业务方案（可落地）</w:t>
      </w:r>
    </w:p>
    <w:p>
      <w:pPr>
        <w:pStyle w:val="Heading2"/>
        <w:spacing w:before="280" w:after="160"/>
      </w:pPr>
      <w:r>
        <w:rPr>
          <w:rFonts w:ascii="微软雅黑" w:hAnsi="微软雅黑" w:eastAsia="微软雅黑"/>
          <w:b/>
          <w:color w:val="00BFA5"/>
          <w:sz w:val="32"/>
        </w:rPr>
        <w:t>4.1 内部用户 — 运营中枢与风控大脑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color w:val="5C6578"/>
          <w:sz w:val="20"/>
        </w:rPr>
        <w:t>羚牛氢能内部员工 · 多部门协同</w:t>
      </w:r>
    </w:p>
    <w:p>
      <w:pPr>
        <w:spacing w:after="120" w:line="324" w:lineRule="auto"/>
      </w:pPr>
      <w:r>
        <w:rPr>
          <w:rFonts w:ascii="微软雅黑" w:hAnsi="微软雅黑" w:eastAsia="微软雅黑"/>
          <w:b/>
          <w:sz w:val="22"/>
        </w:rPr>
        <w:t>业务条线 A：氢能车租赁/自营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合同发起 → 客户评级/敏感客户校验 → 标准/非标合同审批 → 收款 → 交车 → 账单收款 → 还车 → 还车结算。过程中支持替换车业务，全程留痕、可审计。</w:t>
      </w:r>
    </w:p>
    <w:p>
      <w:pPr>
        <w:spacing w:after="120" w:line="324" w:lineRule="auto"/>
      </w:pPr>
      <w:r>
        <w:rPr>
          <w:rFonts w:ascii="微软雅黑" w:hAnsi="微软雅黑" w:eastAsia="微软雅黑"/>
          <w:b/>
          <w:sz w:val="22"/>
        </w:rPr>
        <w:t>业务条线 B：车辆全生命周期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采购/外租 → 验车入库 → 维修/年审/保养/故障/事故 → 出库（出售/报废/停租）。形成单车全生命周期数据档案，支撑资产决策与残值管理。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覆盖角色：业务员、客服、运维、能源、安全、财务、法务、CEO 等；按岗位分配功能模块与审批权限。</w:t>
      </w:r>
    </w:p>
    <w:p>
      <w:pPr>
        <w:pStyle w:val="Heading2"/>
        <w:spacing w:before="280" w:after="160"/>
      </w:pPr>
      <w:r>
        <w:rPr>
          <w:rFonts w:ascii="微软雅黑" w:hAnsi="微软雅黑" w:eastAsia="微软雅黑"/>
          <w:b/>
          <w:color w:val="00BFA5"/>
          <w:sz w:val="32"/>
        </w:rPr>
        <w:t>4.2 车队长 — 车队管理者自助门户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color w:val="5C6578"/>
          <w:sz w:val="20"/>
        </w:rPr>
        <w:t>注册验证 · 在线租车 · 合同签约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一键登录验证注册状态：未注册客户可快速登记营业执照/身份证；已注册客户直接进入管理页。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2"/>
        <w:gridCol w:w="3022"/>
        <w:gridCol w:w="3022"/>
      </w:tblGrid>
      <w:tr>
        <w:tc>
          <w:tcPr>
            <w:tcW w:type="dxa" w:w="680"/>
            <w:shd w:fill="D4F5EC" w:val="clear"/>
          </w:tcPr>
          <w:p>
            <w:r/>
            <w:r>
              <w:rPr>
                <w:rFonts w:ascii="微软雅黑" w:hAnsi="微软雅黑" w:eastAsia="微软雅黑"/>
                <w:b/>
                <w:color w:val="1A1F2E"/>
                <w:sz w:val="20"/>
              </w:rPr>
              <w:t>步骤</w:t>
            </w:r>
          </w:p>
        </w:tc>
        <w:tc>
          <w:tcPr>
            <w:tcW w:type="dxa" w:w="3402"/>
            <w:shd w:fill="D4F5EC" w:val="clear"/>
          </w:tcPr>
          <w:p>
            <w:r/>
            <w:r>
              <w:rPr>
                <w:rFonts w:ascii="微软雅黑" w:hAnsi="微软雅黑" w:eastAsia="微软雅黑"/>
                <w:b/>
                <w:color w:val="1A1F2E"/>
                <w:sz w:val="20"/>
              </w:rPr>
              <w:t>动作</w:t>
            </w:r>
          </w:p>
        </w:tc>
        <w:tc>
          <w:tcPr>
            <w:tcW w:type="dxa" w:w="4989"/>
            <w:shd w:fill="D4F5EC" w:val="clear"/>
          </w:tcPr>
          <w:p>
            <w:r/>
            <w:r>
              <w:rPr>
                <w:rFonts w:ascii="微软雅黑" w:hAnsi="微软雅黑" w:eastAsia="微软雅黑"/>
                <w:b/>
                <w:color w:val="1A1F2E"/>
                <w:sz w:val="20"/>
              </w:rPr>
              <w:t>系统响应</w:t>
            </w:r>
          </w:p>
        </w:tc>
      </w:tr>
      <w:tr>
        <w:tc>
          <w:tcPr>
            <w:tcW w:type="dxa" w:w="680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1</w:t>
            </w:r>
          </w:p>
        </w:tc>
        <w:tc>
          <w:tcPr>
            <w:tcW w:type="dxa" w:w="3402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选择车型、数量、租期发起租车意向</w:t>
            </w:r>
          </w:p>
        </w:tc>
        <w:tc>
          <w:tcPr>
            <w:tcW w:type="dxa" w:w="4989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短信/推送通知对应业务员</w:t>
            </w:r>
          </w:p>
        </w:tc>
      </w:tr>
      <w:tr>
        <w:tc>
          <w:tcPr>
            <w:tcW w:type="dxa" w:w="680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2</w:t>
            </w:r>
          </w:p>
        </w:tc>
        <w:tc>
          <w:tcPr>
            <w:tcW w:type="dxa" w:w="3402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系统按地区自动生成报价单</w:t>
            </w:r>
          </w:p>
        </w:tc>
        <w:tc>
          <w:tcPr>
            <w:tcW w:type="dxa" w:w="4989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业务员可调整并与客户在线沟通</w:t>
            </w:r>
          </w:p>
        </w:tc>
      </w:tr>
      <w:tr>
        <w:tc>
          <w:tcPr>
            <w:tcW w:type="dxa" w:w="680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3</w:t>
            </w:r>
          </w:p>
        </w:tc>
        <w:tc>
          <w:tcPr>
            <w:tcW w:type="dxa" w:w="3402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确认报价并提交</w:t>
            </w:r>
          </w:p>
        </w:tc>
        <w:tc>
          <w:tcPr>
            <w:tcW w:type="dxa" w:w="4989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自动生成电子合同，推送客户签章</w:t>
            </w:r>
          </w:p>
        </w:tc>
      </w:tr>
      <w:tr>
        <w:tc>
          <w:tcPr>
            <w:tcW w:type="dxa" w:w="680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4</w:t>
            </w:r>
          </w:p>
        </w:tc>
        <w:tc>
          <w:tcPr>
            <w:tcW w:type="dxa" w:w="3402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运维完成交车</w:t>
            </w:r>
          </w:p>
        </w:tc>
        <w:tc>
          <w:tcPr>
            <w:tcW w:type="dxa" w:w="4989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车队长查看车辆运行、账单、开票、对讲</w:t>
            </w:r>
          </w:p>
        </w:tc>
      </w:tr>
    </w:tbl>
    <w:p/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交车后能力：实时定位/轨迹、氢/电能源账单、ETC、合同账单、付款、在线开票、语音对讲（类对讲机）。</w:t>
      </w:r>
    </w:p>
    <w:p>
      <w:pPr>
        <w:pStyle w:val="Heading2"/>
        <w:spacing w:before="280" w:after="160"/>
      </w:pPr>
      <w:r>
        <w:rPr>
          <w:rFonts w:ascii="微软雅黑" w:hAnsi="微软雅黑" w:eastAsia="微软雅黑"/>
          <w:b/>
          <w:color w:val="00BFA5"/>
          <w:sz w:val="32"/>
        </w:rPr>
        <w:t>4.3 氢能车司机 — 自营与外部双轨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3"/>
        <w:gridCol w:w="4533"/>
      </w:tblGrid>
      <w:tr>
        <w:tc>
          <w:tcPr>
            <w:tcW w:type="dxa" w:w="1701"/>
            <w:shd w:fill="D4F5EC" w:val="clear"/>
          </w:tcPr>
          <w:p>
            <w:r/>
            <w:r>
              <w:rPr>
                <w:rFonts w:ascii="微软雅黑" w:hAnsi="微软雅黑" w:eastAsia="微软雅黑"/>
                <w:b/>
                <w:color w:val="1A1F2E"/>
                <w:sz w:val="20"/>
              </w:rPr>
              <w:t>类型</w:t>
            </w:r>
          </w:p>
        </w:tc>
        <w:tc>
          <w:tcPr>
            <w:tcW w:type="dxa" w:w="7370"/>
            <w:shd w:fill="D4F5EC" w:val="clear"/>
          </w:tcPr>
          <w:p>
            <w:r/>
            <w:r>
              <w:rPr>
                <w:rFonts w:ascii="微软雅黑" w:hAnsi="微软雅黑" w:eastAsia="微软雅黑"/>
                <w:b/>
                <w:color w:val="1A1F2E"/>
                <w:sz w:val="20"/>
              </w:rPr>
              <w:t>核心能力</w:t>
            </w:r>
          </w:p>
        </w:tc>
      </w:tr>
      <w:tr>
        <w:tc>
          <w:tcPr>
            <w:tcW w:type="dxa" w:w="1701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内部自营司机</w:t>
            </w:r>
          </w:p>
        </w:tc>
        <w:tc>
          <w:tcPr>
            <w:tcW w:type="dxa" w:w="7370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定位/轨迹、送货路线规划与导航、氢/电/ETC 账单、安全培训与定期考试、证照管理、氢/电量提醒、预约附近加氢站（校验特种设备登记/行驶证）、故障提报、紧急救援</w:t>
            </w:r>
          </w:p>
        </w:tc>
      </w:tr>
      <w:tr>
        <w:tc>
          <w:tcPr>
            <w:tcW w:type="dxa" w:w="1701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外部租赁司机</w:t>
            </w:r>
          </w:p>
        </w:tc>
        <w:tc>
          <w:tcPr>
            <w:tcW w:type="dxa" w:w="7370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轨迹与路线导航、能源/ETC 账单、安全培训、司机与车辆证件管理、预约加氢（证件校验提示）、故障提报、紧急救援；不含集团内部物流专属调度能力</w:t>
            </w:r>
          </w:p>
        </w:tc>
      </w:tr>
    </w:tbl>
    <w:p/>
    <w:p>
      <w:pPr>
        <w:pStyle w:val="Heading2"/>
        <w:spacing w:before="280" w:after="160"/>
      </w:pPr>
      <w:r>
        <w:rPr>
          <w:rFonts w:ascii="微软雅黑" w:hAnsi="微软雅黑" w:eastAsia="微软雅黑"/>
          <w:b/>
          <w:color w:val="00BFA5"/>
          <w:sz w:val="32"/>
        </w:rPr>
        <w:t>4.4 加氢站用户 — 加注服务与氢费结算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3"/>
        <w:gridCol w:w="4533"/>
      </w:tblGrid>
      <w:tr>
        <w:tc>
          <w:tcPr>
            <w:tcW w:type="dxa" w:w="1984"/>
            <w:shd w:fill="D4F5EC" w:val="clear"/>
          </w:tcPr>
          <w:p>
            <w:r/>
            <w:r>
              <w:rPr>
                <w:rFonts w:ascii="微软雅黑" w:hAnsi="微软雅黑" w:eastAsia="微软雅黑"/>
                <w:b/>
                <w:color w:val="1A1F2E"/>
                <w:sz w:val="20"/>
              </w:rPr>
              <w:t>功能模块</w:t>
            </w:r>
          </w:p>
        </w:tc>
        <w:tc>
          <w:tcPr>
            <w:tcW w:type="dxa" w:w="7087"/>
            <w:shd w:fill="D4F5EC" w:val="clear"/>
          </w:tcPr>
          <w:p>
            <w:r/>
            <w:r>
              <w:rPr>
                <w:rFonts w:ascii="微软雅黑" w:hAnsi="微软雅黑" w:eastAsia="微软雅黑"/>
                <w:b/>
                <w:color w:val="1A1F2E"/>
                <w:sz w:val="20"/>
              </w:rPr>
              <w:t>说明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预约接单</w:t>
            </w:r>
          </w:p>
        </w:tc>
        <w:tc>
          <w:tcPr>
            <w:tcW w:type="dxa" w:w="7087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验证车辆特种设备检验登记、行驶证后确认服务</w:t>
            </w:r>
          </w:p>
        </w:tc>
      </w:tr>
      <w:tr>
        <w:tc>
          <w:tcPr>
            <w:tcW w:type="dxa" w:w="1984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电子加氢卡结算</w:t>
            </w:r>
          </w:p>
        </w:tc>
        <w:tc>
          <w:tcPr>
            <w:tcW w:type="dxa" w:w="7087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扫描司机电子加氢卡，预充值客户直接扣款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加氢过程管理</w:t>
            </w:r>
          </w:p>
        </w:tc>
        <w:tc>
          <w:tcPr>
            <w:tcW w:type="dxa" w:w="7087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加氢前/中/后检查、卸气记录、站点巡检记录</w:t>
            </w:r>
          </w:p>
        </w:tc>
      </w:tr>
      <w:tr>
        <w:tc>
          <w:tcPr>
            <w:tcW w:type="dxa" w:w="1984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OCR 加氢量识别</w:t>
            </w:r>
          </w:p>
        </w:tc>
        <w:tc>
          <w:tcPr>
            <w:tcW w:type="dxa" w:w="7087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拍摄加氢机面板自动识别加氢量，绑定车辆生成记录</w:t>
            </w:r>
          </w:p>
        </w:tc>
      </w:tr>
      <w:tr>
        <w:tc>
          <w:tcPr>
            <w:tcW w:type="dxa" w:w="1984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氢费对账</w:t>
            </w:r>
          </w:p>
        </w:tc>
        <w:tc>
          <w:tcPr>
            <w:tcW w:type="dxa" w:w="7087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接收并操作氢费对账单，线上确认</w:t>
            </w:r>
          </w:p>
        </w:tc>
      </w:tr>
      <w:tr>
        <w:tc>
          <w:tcPr>
            <w:tcW w:type="dxa" w:w="1984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氢气采购</w:t>
            </w:r>
          </w:p>
        </w:tc>
        <w:tc>
          <w:tcPr>
            <w:tcW w:type="dxa" w:w="7087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向制氢企业发起采购（与上游模块联动）</w:t>
            </w:r>
          </w:p>
        </w:tc>
      </w:tr>
    </w:tbl>
    <w:p/>
    <w:p>
      <w:pPr>
        <w:pStyle w:val="Heading2"/>
        <w:spacing w:before="280" w:after="160"/>
      </w:pPr>
      <w:r>
        <w:rPr>
          <w:rFonts w:ascii="微软雅黑" w:hAnsi="微软雅黑" w:eastAsia="微软雅黑"/>
          <w:b/>
          <w:color w:val="00BFA5"/>
          <w:sz w:val="32"/>
        </w:rPr>
        <w:t>4.5 维修站用户 — 维保派单与对账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接收内部员工发起的维修/保养派单 → 记录维修过程与人工/配件费用 → 自动生成维修记录 → 运维核实 → 内部用户与维修站在线对账及账期结算。与车辆全生命周期数据打通。</w:t>
      </w:r>
    </w:p>
    <w:p>
      <w:pPr>
        <w:pStyle w:val="Heading2"/>
        <w:spacing w:before="280" w:after="160"/>
      </w:pPr>
      <w:r>
        <w:rPr>
          <w:rFonts w:ascii="微软雅黑" w:hAnsi="微软雅黑" w:eastAsia="微软雅黑"/>
          <w:b/>
          <w:color w:val="00BFA5"/>
          <w:sz w:val="32"/>
        </w:rPr>
        <w:t>4.6 制氢企业 — 氢气在线交易与物流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企业资质验证后，在线发布氢气对外采购价（类商城模式）；对接管束车实时数据，监测氢气运输车状态；加氢站发起询价与采购申请 → 制氢企业成交 → 运输到场 → 自动计算管束车使用费用。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关键能力：挂牌售氢 · 询价采购 · 物流调度 · 运费结算</w:t>
      </w:r>
    </w:p>
    <w:p>
      <w:pPr>
        <w:pStyle w:val="Heading2"/>
        <w:spacing w:before="280" w:after="160"/>
      </w:pPr>
      <w:r>
        <w:rPr>
          <w:rFonts w:ascii="微软雅黑" w:hAnsi="微软雅黑" w:eastAsia="微软雅黑"/>
          <w:b/>
          <w:color w:val="00BFA5"/>
          <w:sz w:val="32"/>
        </w:rPr>
        <w:t>4.7 集团客户 — 企业级总览与在线租车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主体为企业（区别于个人车队长）：查看集团所有租赁/自营项目车辆使用情况、全项目账单与结算、电子开票、能源费（氢/电）、ETC、司机信息汇总。同时支持 APP 在线租车并生成对应合同，完成业务闭环。</w:t>
      </w:r>
    </w:p>
    <w:p>
      <w:pPr>
        <w:spacing w:after="120" w:line="324" w:lineRule="auto"/>
      </w:pPr>
      <w:r>
        <w:rPr>
          <w:rFonts w:ascii="微软雅黑" w:hAnsi="微软雅黑" w:eastAsia="微软雅黑"/>
          <w:b/>
          <w:sz w:val="22"/>
        </w:rPr>
        <w:t>与车队长差异：车队长侧重单车队运营；集团客户侧重企业级多项目、多合同、多车队的统一视图与集团采购决策。</w:t>
      </w:r>
    </w:p>
    <w:p>
      <w:pPr>
        <w:pStyle w:val="Heading1"/>
        <w:spacing w:before="0" w:after="160"/>
      </w:pPr>
      <w:r>
        <w:rPr>
          <w:rFonts w:ascii="微软雅黑" w:hAnsi="微软雅黑" w:eastAsia="微软雅黑"/>
          <w:b/>
          <w:color w:val="1A1F2E"/>
          <w:sz w:val="44"/>
        </w:rPr>
        <w:t>五、三大业务闭环总览</w:t>
      </w:r>
    </w:p>
    <w:p>
      <w:pPr>
        <w:spacing w:after="120" w:line="324" w:lineRule="auto"/>
      </w:pPr>
      <w:r>
        <w:rPr>
          <w:rFonts w:ascii="微软雅黑" w:hAnsi="微软雅黑" w:eastAsia="微软雅黑"/>
          <w:b/>
          <w:color w:val="00BFA5"/>
          <w:sz w:val="24"/>
        </w:rPr>
        <w:t>闭环一 · 租赁/自营运营（核心收入）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意向单 → 报价 → 合同（评级/敏感客户审批）→ 交车 → 运营监控 → 账单收款 → 还车 → 结算 → 替换车（如需）</w:t>
      </w:r>
    </w:p>
    <w:p>
      <w:pPr>
        <w:spacing w:after="120" w:line="324" w:lineRule="auto"/>
      </w:pPr>
      <w:r>
        <w:rPr>
          <w:rFonts w:ascii="微软雅黑" w:hAnsi="微软雅黑" w:eastAsia="微软雅黑"/>
          <w:b/>
          <w:color w:val="00BFA5"/>
          <w:sz w:val="24"/>
        </w:rPr>
        <w:t>闭环二 · 车辆资产生命周期（资产管控）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采购/外租 → 验车入库 → 维保/年审/故障/事故 → 能源消耗 → 出库处置；全链路数据沉淀至 OneOS 数据底座</w:t>
      </w:r>
    </w:p>
    <w:p>
      <w:pPr>
        <w:spacing w:after="120" w:line="324" w:lineRule="auto"/>
      </w:pPr>
      <w:r>
        <w:rPr>
          <w:rFonts w:ascii="微软雅黑" w:hAnsi="微软雅黑" w:eastAsia="微软雅黑"/>
          <w:b/>
          <w:color w:val="00BFA5"/>
          <w:sz w:val="24"/>
        </w:rPr>
        <w:t>闭环三 · 氢气贸易与加注（产业延伸）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制氢企业挂牌 → 加氢站询价采购 → 管束车配送 → 司机预约加氢 → 电子加氢卡结算 → 氢费对账 → 运营账单聚合</w:t>
      </w:r>
    </w:p>
    <w:p>
      <w:pPr>
        <w:pStyle w:val="Heading1"/>
        <w:spacing w:before="0" w:after="160"/>
      </w:pPr>
      <w:r>
        <w:rPr>
          <w:rFonts w:ascii="微软雅黑" w:hAnsi="微软雅黑" w:eastAsia="微软雅黑"/>
          <w:b/>
          <w:color w:val="1A1F2E"/>
          <w:sz w:val="44"/>
        </w:rPr>
        <w:t>六、分阶段落地路线图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6"/>
        <w:gridCol w:w="2266"/>
        <w:gridCol w:w="2266"/>
        <w:gridCol w:w="2266"/>
      </w:tblGrid>
      <w:tr>
        <w:tc>
          <w:tcPr>
            <w:tcW w:type="dxa" w:w="1247"/>
            <w:shd w:fill="D4F5EC" w:val="clear"/>
          </w:tcPr>
          <w:p>
            <w:r/>
            <w:r>
              <w:rPr>
                <w:rFonts w:ascii="微软雅黑" w:hAnsi="微软雅黑" w:eastAsia="微软雅黑"/>
                <w:b/>
                <w:color w:val="1A1F2E"/>
                <w:sz w:val="20"/>
              </w:rPr>
              <w:t>阶段</w:t>
            </w:r>
          </w:p>
        </w:tc>
        <w:tc>
          <w:tcPr>
            <w:tcW w:type="dxa" w:w="1134"/>
            <w:shd w:fill="D4F5EC" w:val="clear"/>
          </w:tcPr>
          <w:p>
            <w:r/>
            <w:r>
              <w:rPr>
                <w:rFonts w:ascii="微软雅黑" w:hAnsi="微软雅黑" w:eastAsia="微软雅黑"/>
                <w:b/>
                <w:color w:val="1A1F2E"/>
                <w:sz w:val="20"/>
              </w:rPr>
              <w:t>周期</w:t>
            </w:r>
          </w:p>
        </w:tc>
        <w:tc>
          <w:tcPr>
            <w:tcW w:type="dxa" w:w="3288"/>
            <w:shd w:fill="D4F5EC" w:val="clear"/>
          </w:tcPr>
          <w:p>
            <w:r/>
            <w:r>
              <w:rPr>
                <w:rFonts w:ascii="微软雅黑" w:hAnsi="微软雅黑" w:eastAsia="微软雅黑"/>
                <w:b/>
                <w:color w:val="1A1F2E"/>
                <w:sz w:val="20"/>
              </w:rPr>
              <w:t>重点模块</w:t>
            </w:r>
          </w:p>
        </w:tc>
        <w:tc>
          <w:tcPr>
            <w:tcW w:type="dxa" w:w="3402"/>
            <w:shd w:fill="D4F5EC" w:val="clear"/>
          </w:tcPr>
          <w:p>
            <w:r/>
            <w:r>
              <w:rPr>
                <w:rFonts w:ascii="微软雅黑" w:hAnsi="微软雅黑" w:eastAsia="微软雅黑"/>
                <w:b/>
                <w:color w:val="1A1F2E"/>
                <w:sz w:val="20"/>
              </w:rPr>
              <w:t>交付成果</w:t>
            </w:r>
          </w:p>
        </w:tc>
      </w:tr>
      <w:tr>
        <w:tc>
          <w:tcPr>
            <w:tcW w:type="dxa" w:w="1247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第一阶段</w:t>
            </w:r>
          </w:p>
        </w:tc>
        <w:tc>
          <w:tcPr>
            <w:tcW w:type="dxa" w:w="1134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0–6 月</w:t>
            </w:r>
          </w:p>
        </w:tc>
        <w:tc>
          <w:tcPr>
            <w:tcW w:type="dxa" w:w="3288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内部用户 + 车队长 + 司机核心闭环</w:t>
            </w:r>
          </w:p>
        </w:tc>
        <w:tc>
          <w:tcPr>
            <w:tcW w:type="dxa" w:w="3402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合同审批、交还车、替换车、基础账单</w:t>
            </w:r>
          </w:p>
        </w:tc>
      </w:tr>
      <w:tr>
        <w:tc>
          <w:tcPr>
            <w:tcW w:type="dxa" w:w="1247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第二阶段</w:t>
            </w:r>
          </w:p>
        </w:tc>
        <w:tc>
          <w:tcPr>
            <w:tcW w:type="dxa" w:w="1134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6–12 月</w:t>
            </w:r>
          </w:p>
        </w:tc>
        <w:tc>
          <w:tcPr>
            <w:tcW w:type="dxa" w:w="3288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加氢站 + 维修站接入</w:t>
            </w:r>
          </w:p>
        </w:tc>
        <w:tc>
          <w:tcPr>
            <w:tcW w:type="dxa" w:w="3402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预约加氢、电子加氢卡、维修派单对账</w:t>
            </w:r>
          </w:p>
        </w:tc>
      </w:tr>
      <w:tr>
        <w:tc>
          <w:tcPr>
            <w:tcW w:type="dxa" w:w="1247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第三阶段</w:t>
            </w:r>
          </w:p>
        </w:tc>
        <w:tc>
          <w:tcPr>
            <w:tcW w:type="dxa" w:w="1134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12–18 月</w:t>
            </w:r>
          </w:p>
        </w:tc>
        <w:tc>
          <w:tcPr>
            <w:tcW w:type="dxa" w:w="3288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制氢企业 + 氢气采购商城</w:t>
            </w:r>
          </w:p>
        </w:tc>
        <w:tc>
          <w:tcPr>
            <w:tcW w:type="dxa" w:w="3402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挂牌售氢、管束车调度、到站结算</w:t>
            </w:r>
          </w:p>
        </w:tc>
      </w:tr>
      <w:tr>
        <w:tc>
          <w:tcPr>
            <w:tcW w:type="dxa" w:w="1247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第四阶段</w:t>
            </w:r>
          </w:p>
        </w:tc>
        <w:tc>
          <w:tcPr>
            <w:tcW w:type="dxa" w:w="1134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18–24 月</w:t>
            </w:r>
          </w:p>
        </w:tc>
        <w:tc>
          <w:tcPr>
            <w:tcW w:type="dxa" w:w="3288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集团客户 + 数据智能</w:t>
            </w:r>
          </w:p>
        </w:tc>
        <w:tc>
          <w:tcPr>
            <w:tcW w:type="dxa" w:w="3402"/>
            <w:shd w:fill="F7FBFA" w:val="clear"/>
          </w:tcPr>
          <w:p>
            <w:r/>
            <w:r>
              <w:rPr>
                <w:rFonts w:ascii="微软雅黑" w:hAnsi="微软雅黑" w:eastAsia="微软雅黑"/>
                <w:b w:val="0"/>
                <w:sz w:val="20"/>
              </w:rPr>
              <w:t>集团总览、风控模型、产业数据分析</w:t>
            </w:r>
          </w:p>
        </w:tc>
      </w:tr>
    </w:tbl>
    <w:p/>
    <w:p>
      <w:pPr>
        <w:pStyle w:val="Heading1"/>
        <w:spacing w:before="0" w:after="160"/>
      </w:pPr>
      <w:r>
        <w:rPr>
          <w:rFonts w:ascii="微软雅黑" w:hAnsi="微软雅黑" w:eastAsia="微软雅黑"/>
          <w:b/>
          <w:color w:val="1A1F2E"/>
          <w:sz w:val="44"/>
        </w:rPr>
        <w:t>七、向管理层汇报要点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1. 小羚羚不是单一 App，而是氢能产业多端协同的数字化入口，与 OneOS Web 端形成「大屏管控 + 手机执行」互补。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2. 首期 6 个月聚焦租赁闭环与内部风控，快速产生业务价值；氢气贸易模块作为第二增长曲线。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3. 客户评级与敏感客户审批机制内嵌合同流程，从源头降低收账风险，支撑非标业务合规扩张。</w:t>
      </w:r>
    </w:p>
    <w:p>
      <w:pPr>
        <w:spacing w:after="120" w:line="324" w:lineRule="auto"/>
      </w:pPr>
      <w:r>
        <w:rPr>
          <w:rFonts w:ascii="微软雅黑" w:hAnsi="微软雅黑" w:eastAsia="微软雅黑"/>
          <w:b w:val="0"/>
          <w:sz w:val="22"/>
        </w:rPr>
        <w:t>4. 七类用户共用同一数据底座，避免信息孤岛，为后续氢能产业数据分析与智能调度奠定基础。</w:t>
      </w:r>
    </w:p>
    <w:p>
      <w:pPr>
        <w:spacing w:after="480" w:line="324" w:lineRule="auto"/>
      </w:pPr>
      <w:r>
        <w:rPr>
          <w:rFonts w:ascii="微软雅黑" w:hAnsi="微软雅黑" w:eastAsia="微软雅黑"/>
          <w:b w:val="0"/>
          <w:sz w:val="22"/>
        </w:rPr>
      </w:r>
    </w:p>
    <w:p>
      <w:pPr>
        <w:spacing w:after="120" w:line="324" w:lineRule="auto"/>
        <w:jc w:val="center"/>
      </w:pPr>
      <w:r>
        <w:rPr>
          <w:rFonts w:ascii="微软雅黑" w:hAnsi="微软雅黑" w:eastAsia="微软雅黑"/>
          <w:b w:val="0"/>
          <w:color w:val="5C6578"/>
          <w:sz w:val="20"/>
        </w:rPr>
        <w:t>— 文档结束 —</w:t>
      </w:r>
    </w:p>
    <w:p>
      <w:pPr>
        <w:spacing w:after="120" w:line="324" w:lineRule="auto"/>
        <w:jc w:val="center"/>
      </w:pPr>
      <w:r>
        <w:rPr>
          <w:rFonts w:ascii="微软雅黑" w:hAnsi="微软雅黑" w:eastAsia="微软雅黑"/>
          <w:b w:val="0"/>
          <w:color w:val="5C6578"/>
          <w:sz w:val="20"/>
        </w:rPr>
        <w:t>羚牛氢能 · 小羚羚平台方案 · OneOS 生态 · 供内部汇报使用</w:t>
      </w:r>
    </w:p>
    <w:sectPr w:rsidR="00FC693F" w:rsidRPr="0006063C" w:rsidSect="00034616">
      <w:pgSz w:w="12240" w:h="15840"/>
      <w:pgMar w:top="1417" w:right="1587" w:bottom="1417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